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46285" w14:textId="272F328A" w:rsidR="00FF3B33" w:rsidRPr="00AE473D" w:rsidRDefault="00F26482" w:rsidP="00AE473D">
      <w:pPr>
        <w:spacing w:after="0" w:line="360" w:lineRule="auto"/>
        <w:jc w:val="center"/>
        <w:rPr>
          <w:rFonts w:ascii="inherit" w:hAnsi="inherit" w:cstheme="minorHAnsi"/>
          <w:b/>
          <w:bCs/>
          <w:lang w:val="is-IS"/>
        </w:rPr>
      </w:pPr>
      <w:r w:rsidRPr="00AE473D">
        <w:rPr>
          <w:rFonts w:ascii="inherit" w:hAnsi="inherit" w:cstheme="minorHAnsi"/>
          <w:b/>
          <w:bCs/>
          <w:lang w:val="is-IS"/>
        </w:rPr>
        <w:t>Tillaga að lagabreytingu fyrir aðalfund samtaka sjávarútvegssveitarfélaga 12. október 2022</w:t>
      </w:r>
    </w:p>
    <w:p w14:paraId="58B29FEA" w14:textId="57ADAE4C" w:rsidR="00F26482" w:rsidRPr="00AE473D" w:rsidRDefault="00F26482" w:rsidP="00FB2CA5">
      <w:pPr>
        <w:spacing w:after="0" w:line="360" w:lineRule="auto"/>
        <w:rPr>
          <w:rFonts w:ascii="inherit" w:hAnsi="inherit" w:cstheme="minorHAnsi"/>
          <w:b/>
          <w:bCs/>
          <w:lang w:val="is-IS"/>
        </w:rPr>
      </w:pPr>
    </w:p>
    <w:p w14:paraId="3D046EBA" w14:textId="7EADB40A" w:rsidR="00F26482" w:rsidRPr="00AE473D" w:rsidRDefault="004158B2" w:rsidP="00FB2CA5">
      <w:pPr>
        <w:spacing w:after="0" w:line="360" w:lineRule="auto"/>
        <w:rPr>
          <w:rFonts w:ascii="inherit" w:hAnsi="inherit" w:cstheme="minorHAnsi"/>
          <w:b/>
          <w:bCs/>
          <w:lang w:val="is-IS"/>
        </w:rPr>
      </w:pPr>
      <w:r w:rsidRPr="00AE473D">
        <w:rPr>
          <w:rFonts w:ascii="inherit" w:hAnsi="inherit" w:cstheme="minorHAnsi"/>
          <w:b/>
          <w:bCs/>
          <w:lang w:val="is-IS"/>
        </w:rPr>
        <w:t>Breyting á</w:t>
      </w:r>
      <w:r w:rsidR="00F26482" w:rsidRPr="00AE473D">
        <w:rPr>
          <w:rFonts w:ascii="inherit" w:hAnsi="inherit" w:cstheme="minorHAnsi"/>
          <w:b/>
          <w:bCs/>
          <w:lang w:val="is-IS"/>
        </w:rPr>
        <w:t xml:space="preserve"> 2. gr. samþykkta samtakanna:</w:t>
      </w:r>
    </w:p>
    <w:p w14:paraId="137D8B9D" w14:textId="57DF2908" w:rsidR="00F26482" w:rsidRPr="00AE473D" w:rsidRDefault="00F26482" w:rsidP="00FB2CA5">
      <w:pPr>
        <w:spacing w:after="0" w:line="360" w:lineRule="auto"/>
        <w:jc w:val="both"/>
        <w:rPr>
          <w:rFonts w:ascii="inherit" w:hAnsi="inherit" w:cstheme="minorHAnsi"/>
          <w:lang w:val="is-IS"/>
        </w:rPr>
      </w:pPr>
      <w:r w:rsidRPr="00AE473D">
        <w:rPr>
          <w:rFonts w:ascii="inherit" w:hAnsi="inherit" w:cstheme="minorHAnsi"/>
          <w:lang w:val="is-IS"/>
        </w:rPr>
        <w:t>Við greinina bætist ný málsgrein sem verður 2. mgr. 2. gr.</w:t>
      </w:r>
      <w:r w:rsidR="004158B2" w:rsidRPr="00AE473D">
        <w:rPr>
          <w:rFonts w:ascii="inherit" w:hAnsi="inherit" w:cstheme="minorHAnsi"/>
          <w:lang w:val="is-IS"/>
        </w:rPr>
        <w:t>,</w:t>
      </w:r>
      <w:r w:rsidRPr="00AE473D">
        <w:rPr>
          <w:rFonts w:ascii="inherit" w:hAnsi="inherit" w:cstheme="minorHAnsi"/>
          <w:lang w:val="is-IS"/>
        </w:rPr>
        <w:t xml:space="preserve"> svohljóðandi: </w:t>
      </w:r>
    </w:p>
    <w:p w14:paraId="326C5706" w14:textId="714C317C" w:rsidR="00F26482" w:rsidRDefault="00F26482" w:rsidP="00FB2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</w:pPr>
      <w:r w:rsidRP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>Ef sveitarfélag óskar að segja sig úr samtökunum skal tilkynna það skriflega og miðast úrsögnin við næsta aðalfund eftir að tilkynning um úrsögn berst.</w:t>
      </w:r>
    </w:p>
    <w:p w14:paraId="1313688C" w14:textId="6A9E7822" w:rsidR="00AE473D" w:rsidRDefault="00AE473D" w:rsidP="00FB2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</w:pPr>
    </w:p>
    <w:p w14:paraId="5C738FCF" w14:textId="1E06C58F" w:rsidR="00AE473D" w:rsidRDefault="00AE473D" w:rsidP="00FB2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theme="minorHAnsi"/>
          <w:color w:val="353535"/>
          <w:sz w:val="22"/>
          <w:szCs w:val="22"/>
          <w:lang w:val="is-IS"/>
        </w:rPr>
      </w:pPr>
      <w:r>
        <w:rPr>
          <w:rFonts w:ascii="inherit" w:hAnsi="inherit" w:cstheme="minorHAnsi"/>
          <w:color w:val="353535"/>
          <w:sz w:val="22"/>
          <w:szCs w:val="22"/>
          <w:lang w:val="is-IS"/>
        </w:rPr>
        <w:t xml:space="preserve">2. mgr. verður 3. mgr. 2. gr. og svohljóðandi: </w:t>
      </w:r>
    </w:p>
    <w:p w14:paraId="5EACBD70" w14:textId="77777777" w:rsidR="00AE473D" w:rsidRPr="00AE473D" w:rsidRDefault="00AE473D" w:rsidP="00AE473D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</w:pPr>
      <w:r w:rsidRP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 xml:space="preserve">Hægt er að veita undanþágu frá </w:t>
      </w:r>
      <w:r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>1. mgr.</w:t>
      </w:r>
      <w:r w:rsidRP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 xml:space="preserve"> í sérstökum tilvikum og skal slík undanþága samþykkt með 2/3 greiddra atkvæða á aðalfundi.</w:t>
      </w:r>
    </w:p>
    <w:p w14:paraId="17D70C56" w14:textId="77777777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theme="minorHAnsi"/>
          <w:b/>
          <w:bCs/>
          <w:color w:val="353535"/>
          <w:sz w:val="22"/>
          <w:szCs w:val="22"/>
          <w:lang w:val="is-IS"/>
        </w:rPr>
      </w:pPr>
    </w:p>
    <w:p w14:paraId="020A8D31" w14:textId="7E71531F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theme="minorHAnsi"/>
          <w:b/>
          <w:bCs/>
          <w:color w:val="353535"/>
          <w:sz w:val="22"/>
          <w:szCs w:val="22"/>
          <w:lang w:val="is-IS"/>
        </w:rPr>
      </w:pPr>
      <w:r w:rsidRPr="00AE473D">
        <w:rPr>
          <w:rFonts w:ascii="inherit" w:hAnsi="inherit" w:cstheme="minorHAnsi"/>
          <w:b/>
          <w:bCs/>
          <w:color w:val="353535"/>
          <w:sz w:val="22"/>
          <w:szCs w:val="22"/>
          <w:lang w:val="is-IS"/>
        </w:rPr>
        <w:t xml:space="preserve">Eftir breytingu verður 2. gr. samþykkta samtaka sjávarútvegssveitarfélaga, svohljóðandi: </w:t>
      </w:r>
    </w:p>
    <w:p w14:paraId="55D5BFB7" w14:textId="1E73722F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</w:pPr>
      <w:r w:rsidRP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>Sveitarfélög sem hafa mikla beina hagsmuni af sjávarútvegi og sjókvíaeldi, s.s. vegna þess að úthlutað</w:t>
      </w:r>
      <w:r w:rsid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 xml:space="preserve"> </w:t>
      </w:r>
      <w:r w:rsidRP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>aflamark er hátt á hvern íbúa og/eða hlutfall starfa í veiðum, sjókvíaeldi og vinnslu er hátt, geta gerst aðilar að samtökunum.</w:t>
      </w:r>
    </w:p>
    <w:p w14:paraId="6F12AE48" w14:textId="77777777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</w:pPr>
    </w:p>
    <w:p w14:paraId="383D64B6" w14:textId="4DF031EA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</w:pPr>
      <w:r w:rsidRP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>Ef sveitarfélag óskar að segja sig úr samtökunum skal tilkynna það skriflega og miðast úrsögnin við næsta aðalfund eftir að tilkynning um úrsögn berst</w:t>
      </w:r>
      <w:r w:rsid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>.</w:t>
      </w:r>
    </w:p>
    <w:p w14:paraId="4CC1BC68" w14:textId="77777777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</w:pPr>
    </w:p>
    <w:p w14:paraId="0428A162" w14:textId="16CDD40A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</w:pPr>
      <w:r w:rsidRP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 xml:space="preserve">Hægt er að veita undanþágu frá </w:t>
      </w:r>
      <w:r w:rsid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>1. mgr.</w:t>
      </w:r>
      <w:r w:rsidRPr="00AE473D">
        <w:rPr>
          <w:rFonts w:ascii="inherit" w:hAnsi="inherit" w:cstheme="minorHAnsi"/>
          <w:i/>
          <w:iCs/>
          <w:color w:val="353535"/>
          <w:sz w:val="22"/>
          <w:szCs w:val="22"/>
          <w:lang w:val="is-IS"/>
        </w:rPr>
        <w:t xml:space="preserve"> í sérstökum tilvikum og skal slík undanþága samþykkt með 2/3 greiddra atkvæða á aðalfundi.</w:t>
      </w:r>
    </w:p>
    <w:p w14:paraId="63FC34A2" w14:textId="77777777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theme="minorHAnsi"/>
          <w:b/>
          <w:bCs/>
          <w:color w:val="353535"/>
          <w:sz w:val="22"/>
          <w:szCs w:val="22"/>
          <w:lang w:val="is-IS"/>
        </w:rPr>
      </w:pPr>
    </w:p>
    <w:p w14:paraId="17C61AA3" w14:textId="02741841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theme="minorHAnsi"/>
          <w:b/>
          <w:bCs/>
          <w:color w:val="353535"/>
          <w:sz w:val="22"/>
          <w:szCs w:val="22"/>
          <w:lang w:val="is-IS"/>
        </w:rPr>
      </w:pPr>
      <w:r w:rsidRPr="00AE473D">
        <w:rPr>
          <w:rFonts w:ascii="inherit" w:hAnsi="inherit" w:cstheme="minorHAnsi"/>
          <w:b/>
          <w:bCs/>
          <w:color w:val="353535"/>
          <w:sz w:val="22"/>
          <w:szCs w:val="22"/>
          <w:lang w:val="is-IS"/>
        </w:rPr>
        <w:t>Greinagerð</w:t>
      </w:r>
    </w:p>
    <w:p w14:paraId="3AD31C34" w14:textId="74086231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theme="minorHAnsi"/>
          <w:color w:val="353535"/>
          <w:sz w:val="22"/>
          <w:szCs w:val="22"/>
          <w:lang w:val="is-IS"/>
        </w:rPr>
      </w:pPr>
      <w:r w:rsidRPr="00AE473D">
        <w:rPr>
          <w:rFonts w:ascii="inherit" w:hAnsi="inherit" w:cstheme="minorHAnsi"/>
          <w:color w:val="353535"/>
          <w:sz w:val="22"/>
          <w:szCs w:val="22"/>
          <w:lang w:val="is-IS"/>
        </w:rPr>
        <w:t xml:space="preserve">Stjórn samtaka sjávarútvegssveitarfélaga leggur til að ofangreindri málsgrein um úrsögn úr samtökunum verði bætt í 2. gr. samþykktanna. Með lagabreytingunni verður tekinn af allur vafi hvernig fara skuli með úrsögn sveitarfélags úr samtökunum, berist slík ósk. Málsgreinin er samhljóða 3. gr. samþykkta </w:t>
      </w:r>
      <w:r w:rsidR="006136D7">
        <w:rPr>
          <w:rFonts w:ascii="inherit" w:hAnsi="inherit" w:cstheme="minorHAnsi"/>
          <w:color w:val="353535"/>
          <w:sz w:val="22"/>
          <w:szCs w:val="22"/>
          <w:lang w:val="is-IS"/>
        </w:rPr>
        <w:t>S</w:t>
      </w:r>
      <w:r w:rsidRPr="00AE473D">
        <w:rPr>
          <w:rFonts w:ascii="inherit" w:hAnsi="inherit" w:cstheme="minorHAnsi"/>
          <w:color w:val="353535"/>
          <w:sz w:val="22"/>
          <w:szCs w:val="22"/>
          <w:lang w:val="is-IS"/>
        </w:rPr>
        <w:t>ambands íslensk</w:t>
      </w:r>
      <w:r w:rsidR="006136D7">
        <w:rPr>
          <w:rFonts w:ascii="inherit" w:hAnsi="inherit" w:cstheme="minorHAnsi"/>
          <w:color w:val="353535"/>
          <w:sz w:val="22"/>
          <w:szCs w:val="22"/>
          <w:lang w:val="is-IS"/>
        </w:rPr>
        <w:t>r</w:t>
      </w:r>
      <w:r w:rsidRPr="00AE473D">
        <w:rPr>
          <w:rFonts w:ascii="inherit" w:hAnsi="inherit" w:cstheme="minorHAnsi"/>
          <w:color w:val="353535"/>
          <w:sz w:val="22"/>
          <w:szCs w:val="22"/>
          <w:lang w:val="is-IS"/>
        </w:rPr>
        <w:t>a sveitarfélaga</w:t>
      </w:r>
      <w:r w:rsidR="006136D7">
        <w:rPr>
          <w:rFonts w:ascii="inherit" w:hAnsi="inherit" w:cstheme="minorHAnsi"/>
          <w:color w:val="353535"/>
          <w:sz w:val="22"/>
          <w:szCs w:val="22"/>
          <w:lang w:val="is-IS"/>
        </w:rPr>
        <w:t xml:space="preserve"> frá </w:t>
      </w:r>
      <w:r w:rsidR="00090D9C">
        <w:rPr>
          <w:rFonts w:ascii="inherit" w:hAnsi="inherit" w:cstheme="minorHAnsi"/>
          <w:color w:val="353535"/>
          <w:sz w:val="22"/>
          <w:szCs w:val="22"/>
          <w:lang w:val="is-IS"/>
        </w:rPr>
        <w:t>21. maí 2021</w:t>
      </w:r>
      <w:r w:rsidRPr="00AE473D">
        <w:rPr>
          <w:rFonts w:ascii="inherit" w:hAnsi="inherit" w:cstheme="minorHAnsi"/>
          <w:color w:val="353535"/>
          <w:sz w:val="22"/>
          <w:szCs w:val="22"/>
          <w:lang w:val="is-IS"/>
        </w:rPr>
        <w:t xml:space="preserve">. </w:t>
      </w:r>
    </w:p>
    <w:p w14:paraId="1CA97D74" w14:textId="2D3E79BF" w:rsidR="00FB2CA5" w:rsidRPr="00AE473D" w:rsidRDefault="00FB2CA5" w:rsidP="00FB2CA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theme="minorHAnsi"/>
          <w:color w:val="353535"/>
          <w:sz w:val="22"/>
          <w:szCs w:val="22"/>
          <w:lang w:val="is-IS"/>
        </w:rPr>
      </w:pPr>
    </w:p>
    <w:p w14:paraId="50D16D7A" w14:textId="0B13B27E" w:rsidR="00FB2CA5" w:rsidRPr="00090D9C" w:rsidRDefault="00FB2CA5" w:rsidP="00090D9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inherit" w:hAnsi="inherit" w:cstheme="minorHAnsi"/>
          <w:b/>
          <w:bCs/>
          <w:color w:val="353535"/>
          <w:sz w:val="22"/>
          <w:szCs w:val="22"/>
          <w:lang w:val="is-IS"/>
        </w:rPr>
      </w:pPr>
      <w:r w:rsidRPr="00090D9C">
        <w:rPr>
          <w:rFonts w:ascii="inherit" w:hAnsi="inherit" w:cstheme="minorHAnsi"/>
          <w:b/>
          <w:bCs/>
          <w:color w:val="353535"/>
          <w:sz w:val="22"/>
          <w:szCs w:val="22"/>
          <w:lang w:val="is-IS"/>
        </w:rPr>
        <w:t>Staðfest af stjórn Samtaka sjávarútvegssveitarfélaga 27. september 2022 og vísað til afgreiðslu aðalfundar.</w:t>
      </w:r>
    </w:p>
    <w:sectPr w:rsidR="00FB2CA5" w:rsidRPr="0009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82"/>
    <w:rsid w:val="00090D9C"/>
    <w:rsid w:val="004158B2"/>
    <w:rsid w:val="006136D7"/>
    <w:rsid w:val="00AE473D"/>
    <w:rsid w:val="00C84271"/>
    <w:rsid w:val="00F26482"/>
    <w:rsid w:val="00FB2CA5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8860"/>
  <w15:chartTrackingRefBased/>
  <w15:docId w15:val="{E781EE7E-51A1-41A8-A09C-9D1723D3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ornhermann@gmail.com</dc:creator>
  <cp:keywords/>
  <dc:description/>
  <cp:lastModifiedBy>Valgerður Freyja Ágústsdóttir</cp:lastModifiedBy>
  <cp:revision>2</cp:revision>
  <dcterms:created xsi:type="dcterms:W3CDTF">2022-09-27T13:11:00Z</dcterms:created>
  <dcterms:modified xsi:type="dcterms:W3CDTF">2022-09-27T13:11:00Z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Tillaga að lagabreytingu_drög.docx</vt:lpwstr>
  </property>
  <property fmtid="{D5CDD505-2E9C-101B-9397-08002B2CF9AE}" pid="3" name="One_Number">
    <vt:lpwstr>2206002SU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Rebekka Hilmarsdóttir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0.1</vt:lpwstr>
  </property>
</Properties>
</file>